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1" w:rsidRPr="007F71F8" w:rsidRDefault="00256A13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REF NO. BSE/NSE/2025-2026/05</w:t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ab/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ab/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ab/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ab/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ab/>
      </w:r>
      <w:r w:rsidR="00A17E1B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GoBack"/>
      <w:bookmarkEnd w:id="0"/>
      <w:r w:rsidR="00146EB1" w:rsidRPr="007F71F8">
        <w:rPr>
          <w:rFonts w:asciiTheme="majorHAnsi" w:hAnsiTheme="majorHAnsi" w:cstheme="majorHAnsi"/>
          <w:b/>
          <w:sz w:val="22"/>
          <w:szCs w:val="22"/>
        </w:rPr>
        <w:t xml:space="preserve">Date: </w:t>
      </w:r>
      <w:r>
        <w:rPr>
          <w:rFonts w:asciiTheme="majorHAnsi" w:hAnsiTheme="majorHAnsi" w:cstheme="majorHAnsi"/>
          <w:b/>
          <w:sz w:val="22"/>
          <w:szCs w:val="22"/>
        </w:rPr>
        <w:t>25</w:t>
      </w:r>
      <w:r w:rsidRPr="00256A13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sz w:val="22"/>
          <w:szCs w:val="22"/>
        </w:rPr>
        <w:t xml:space="preserve"> July</w:t>
      </w:r>
      <w:r w:rsidR="00146EB1" w:rsidRPr="007F71F8">
        <w:rPr>
          <w:rFonts w:asciiTheme="majorHAnsi" w:hAnsiTheme="majorHAnsi" w:cstheme="majorHAnsi"/>
          <w:b/>
          <w:sz w:val="22"/>
          <w:szCs w:val="22"/>
        </w:rPr>
        <w:t xml:space="preserve">, 2025 </w:t>
      </w:r>
    </w:p>
    <w:p w:rsidR="00146EB1" w:rsidRPr="007F71F8" w:rsidRDefault="00146EB1" w:rsidP="00146EB1">
      <w:pPr>
        <w:ind w:left="993" w:hanging="993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46EB1" w:rsidRPr="007F71F8" w:rsidRDefault="00146EB1" w:rsidP="00146EB1">
      <w:pPr>
        <w:ind w:left="993" w:hanging="993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057"/>
      </w:tblGrid>
      <w:tr w:rsidR="00146EB1" w:rsidRPr="007F71F8" w:rsidTr="007F71F8">
        <w:trPr>
          <w:trHeight w:val="1593"/>
        </w:trPr>
        <w:tc>
          <w:tcPr>
            <w:tcW w:w="3959" w:type="dxa"/>
          </w:tcPr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The Listing Compliance Department</w:t>
            </w:r>
          </w:p>
          <w:p w:rsid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BSE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 xml:space="preserve"> Limited</w:t>
            </w:r>
          </w:p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>Phiroze</w:t>
            </w:r>
            <w:proofErr w:type="spellEnd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>Jee</w:t>
            </w:r>
            <w:proofErr w:type="spellEnd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>Jee</w:t>
            </w:r>
            <w:proofErr w:type="spellEnd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>Bhoy</w:t>
            </w:r>
            <w:proofErr w:type="spellEnd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Towers, </w:t>
            </w:r>
          </w:p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>Dalal</w:t>
            </w:r>
            <w:proofErr w:type="spellEnd"/>
            <w:r w:rsidR="00146EB1" w:rsidRPr="007F71F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Street, Mumbai – 400001</w:t>
            </w:r>
          </w:p>
          <w:p w:rsidR="00146EB1" w:rsidRPr="007F71F8" w:rsidRDefault="00146EB1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</w:pPr>
          </w:p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 xml:space="preserve">Scrip code: </w:t>
            </w:r>
            <w:r w:rsidR="00146EB1" w:rsidRPr="007F71F8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F71F8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>526209</w:t>
            </w:r>
          </w:p>
        </w:tc>
        <w:tc>
          <w:tcPr>
            <w:tcW w:w="5057" w:type="dxa"/>
          </w:tcPr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The Listing Compliance Department</w:t>
            </w:r>
          </w:p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sz w:val="22"/>
                <w:szCs w:val="22"/>
                <w:lang w:bidi="hi-IN"/>
              </w:rPr>
              <w:t>National Stock Exchange of India Limited,</w:t>
            </w:r>
          </w:p>
          <w:p w:rsidR="00146EB1" w:rsidRPr="007F71F8" w:rsidRDefault="00146EB1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</w:pPr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 xml:space="preserve">“Exchange Plaza”, 5th Floor, Plot No. C/1, G-Block, </w:t>
            </w:r>
            <w:proofErr w:type="spellStart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>Bandra</w:t>
            </w:r>
            <w:proofErr w:type="spellEnd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 xml:space="preserve"> – </w:t>
            </w:r>
            <w:proofErr w:type="spellStart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>Kurla</w:t>
            </w:r>
            <w:proofErr w:type="spellEnd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 xml:space="preserve"> Complex, </w:t>
            </w:r>
            <w:proofErr w:type="spellStart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>Bandra</w:t>
            </w:r>
            <w:proofErr w:type="spellEnd"/>
            <w:r w:rsidRPr="007F71F8"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  <w:t xml:space="preserve"> (E), Mumbai-400051</w:t>
            </w:r>
          </w:p>
          <w:p w:rsidR="00146EB1" w:rsidRPr="007F71F8" w:rsidRDefault="00146EB1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bidi="hi-IN"/>
              </w:rPr>
            </w:pPr>
          </w:p>
          <w:p w:rsidR="00146EB1" w:rsidRPr="007F71F8" w:rsidRDefault="00284FAB" w:rsidP="00284FAB">
            <w:pPr>
              <w:ind w:left="-170"/>
              <w:jc w:val="both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bidi="hi-IN"/>
              </w:rPr>
              <w:t xml:space="preserve"> </w:t>
            </w:r>
            <w:r w:rsidR="00146EB1" w:rsidRPr="007F71F8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bidi="hi-IN"/>
              </w:rPr>
              <w:t xml:space="preserve">Scrip code: </w:t>
            </w:r>
            <w:r w:rsidR="007F71F8" w:rsidRPr="007F71F8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bidi="hi-IN"/>
              </w:rPr>
              <w:t>KSOILS</w:t>
            </w:r>
          </w:p>
        </w:tc>
      </w:tr>
    </w:tbl>
    <w:p w:rsidR="00146EB1" w:rsidRPr="007F71F8" w:rsidRDefault="00146EB1" w:rsidP="00146EB1">
      <w:pPr>
        <w:ind w:left="993" w:hanging="993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 xml:space="preserve">Subject:  </w:t>
      </w:r>
      <w:r w:rsidR="00256A13" w:rsidRPr="00256A13">
        <w:rPr>
          <w:rFonts w:asciiTheme="majorHAnsi" w:hAnsiTheme="majorHAnsi" w:cstheme="majorHAnsi"/>
          <w:b/>
          <w:sz w:val="22"/>
          <w:szCs w:val="22"/>
        </w:rPr>
        <w:t xml:space="preserve">Intimation of Board Meeting of </w:t>
      </w:r>
      <w:r w:rsidR="00256A13">
        <w:rPr>
          <w:rFonts w:asciiTheme="majorHAnsi" w:hAnsiTheme="majorHAnsi" w:cstheme="majorHAnsi"/>
          <w:b/>
          <w:sz w:val="22"/>
          <w:szCs w:val="22"/>
        </w:rPr>
        <w:t xml:space="preserve">K.S. Oils </w:t>
      </w:r>
      <w:r w:rsidR="00256A13" w:rsidRPr="00256A13">
        <w:rPr>
          <w:rFonts w:asciiTheme="majorHAnsi" w:hAnsiTheme="majorHAnsi" w:cstheme="majorHAnsi"/>
          <w:b/>
          <w:sz w:val="22"/>
          <w:szCs w:val="22"/>
        </w:rPr>
        <w:t>Limited (“The Company”)</w:t>
      </w:r>
      <w:r w:rsidRPr="00256A13">
        <w:rPr>
          <w:rFonts w:asciiTheme="majorHAnsi" w:hAnsiTheme="majorHAnsi" w:cstheme="majorHAnsi"/>
          <w:b/>
          <w:sz w:val="22"/>
          <w:szCs w:val="22"/>
        </w:rPr>
        <w:t>.</w:t>
      </w:r>
    </w:p>
    <w:p w:rsidR="002D76DD" w:rsidRPr="007F71F8" w:rsidRDefault="002D76DD" w:rsidP="002D76DD">
      <w:pPr>
        <w:ind w:left="993" w:hanging="993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D76DD" w:rsidRPr="007F71F8" w:rsidRDefault="002D76DD" w:rsidP="00256A1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 xml:space="preserve">Ref:       </w:t>
      </w:r>
      <w:r w:rsidR="00256A13">
        <w:rPr>
          <w:rFonts w:asciiTheme="majorHAnsi" w:hAnsiTheme="majorHAnsi" w:cstheme="majorHAnsi"/>
          <w:b/>
          <w:sz w:val="22"/>
          <w:szCs w:val="22"/>
        </w:rPr>
        <w:t>Regulation 29(1) of</w:t>
      </w:r>
      <w:r w:rsidRPr="007F71F8">
        <w:rPr>
          <w:rFonts w:asciiTheme="majorHAnsi" w:hAnsiTheme="majorHAnsi" w:cstheme="majorHAnsi"/>
          <w:b/>
          <w:sz w:val="22"/>
          <w:szCs w:val="22"/>
        </w:rPr>
        <w:t xml:space="preserve"> Securities and Exchange Board of India (</w:t>
      </w:r>
      <w:r w:rsidR="00256A13" w:rsidRPr="00256A13">
        <w:rPr>
          <w:rFonts w:asciiTheme="majorHAnsi" w:hAnsiTheme="majorHAnsi" w:cstheme="majorHAnsi"/>
          <w:b/>
          <w:sz w:val="22"/>
          <w:szCs w:val="22"/>
        </w:rPr>
        <w:t>Listing Obligations and</w:t>
      </w:r>
      <w:r w:rsidR="00256A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56A13" w:rsidRPr="00256A13">
        <w:rPr>
          <w:rFonts w:asciiTheme="majorHAnsi" w:hAnsiTheme="majorHAnsi" w:cstheme="majorHAnsi"/>
          <w:b/>
          <w:sz w:val="22"/>
          <w:szCs w:val="22"/>
        </w:rPr>
        <w:t>Disclosure Requirements</w:t>
      </w:r>
      <w:r w:rsidRPr="007F71F8">
        <w:rPr>
          <w:rFonts w:asciiTheme="majorHAnsi" w:hAnsiTheme="majorHAnsi" w:cstheme="majorHAnsi"/>
          <w:b/>
          <w:sz w:val="22"/>
          <w:szCs w:val="22"/>
        </w:rPr>
        <w:t xml:space="preserve">) Regulations, 2015 ("SEBI </w:t>
      </w:r>
      <w:r w:rsidR="00256A13">
        <w:rPr>
          <w:rFonts w:asciiTheme="majorHAnsi" w:hAnsiTheme="majorHAnsi" w:cstheme="majorHAnsi"/>
          <w:b/>
          <w:sz w:val="22"/>
          <w:szCs w:val="22"/>
        </w:rPr>
        <w:t>Listing</w:t>
      </w:r>
      <w:r w:rsidRPr="007F71F8">
        <w:rPr>
          <w:rFonts w:asciiTheme="majorHAnsi" w:hAnsiTheme="majorHAnsi" w:cstheme="majorHAnsi"/>
          <w:b/>
          <w:sz w:val="22"/>
          <w:szCs w:val="22"/>
        </w:rPr>
        <w:t xml:space="preserve"> Regulations")</w:t>
      </w:r>
      <w:r w:rsidR="00256A13">
        <w:rPr>
          <w:rFonts w:asciiTheme="majorHAnsi" w:hAnsiTheme="majorHAnsi" w:cstheme="majorHAnsi"/>
          <w:b/>
          <w:sz w:val="22"/>
          <w:szCs w:val="22"/>
        </w:rPr>
        <w:t>.</w:t>
      </w:r>
    </w:p>
    <w:p w:rsidR="00146EB1" w:rsidRPr="007F71F8" w:rsidRDefault="00146EB1" w:rsidP="00146EB1">
      <w:pPr>
        <w:ind w:left="993" w:hanging="993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46EB1" w:rsidRPr="007F71F8" w:rsidRDefault="00256A13" w:rsidP="00146EB1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Sir/Mad</w:t>
      </w:r>
      <w:r w:rsidR="00146EB1" w:rsidRPr="007F71F8">
        <w:rPr>
          <w:rFonts w:asciiTheme="majorHAnsi" w:hAnsiTheme="majorHAnsi" w:cstheme="majorHAnsi"/>
          <w:sz w:val="22"/>
          <w:szCs w:val="22"/>
        </w:rPr>
        <w:t>am,</w:t>
      </w:r>
    </w:p>
    <w:p w:rsidR="00256A13" w:rsidRDefault="00256A13" w:rsidP="00146EB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02529" w:rsidRPr="007F71F8" w:rsidRDefault="00256A13" w:rsidP="00256A13">
      <w:pPr>
        <w:jc w:val="both"/>
        <w:rPr>
          <w:rFonts w:asciiTheme="majorHAnsi" w:hAnsiTheme="majorHAnsi" w:cstheme="majorHAnsi"/>
          <w:sz w:val="22"/>
          <w:szCs w:val="22"/>
        </w:rPr>
      </w:pPr>
      <w:r w:rsidRPr="00256A13">
        <w:rPr>
          <w:rFonts w:asciiTheme="majorHAnsi" w:hAnsiTheme="majorHAnsi" w:cstheme="majorHAnsi"/>
          <w:sz w:val="22"/>
          <w:szCs w:val="22"/>
        </w:rPr>
        <w:t>We wish to inform you that pursuant to Regulation 29</w:t>
      </w:r>
      <w:r>
        <w:rPr>
          <w:rFonts w:asciiTheme="majorHAnsi" w:hAnsiTheme="majorHAnsi" w:cstheme="majorHAnsi"/>
          <w:sz w:val="22"/>
          <w:szCs w:val="22"/>
        </w:rPr>
        <w:t>(1)</w:t>
      </w:r>
      <w:r w:rsidRPr="00256A13">
        <w:rPr>
          <w:rFonts w:asciiTheme="majorHAnsi" w:hAnsiTheme="majorHAnsi" w:cstheme="majorHAnsi"/>
          <w:sz w:val="22"/>
          <w:szCs w:val="22"/>
        </w:rPr>
        <w:t xml:space="preserve"> and other applicable provisions of the Securities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>and Exchange Board of India (Listing Obligations and Disclosure Requirements) Regulations, 2015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>(“</w:t>
      </w:r>
      <w:r>
        <w:rPr>
          <w:rFonts w:asciiTheme="majorHAnsi" w:hAnsiTheme="majorHAnsi" w:cstheme="majorHAnsi"/>
          <w:sz w:val="22"/>
          <w:szCs w:val="22"/>
        </w:rPr>
        <w:t xml:space="preserve">SEBI </w:t>
      </w:r>
      <w:r w:rsidRPr="00256A13">
        <w:rPr>
          <w:rFonts w:asciiTheme="majorHAnsi" w:hAnsiTheme="majorHAnsi" w:cstheme="majorHAnsi"/>
          <w:sz w:val="22"/>
          <w:szCs w:val="22"/>
        </w:rPr>
        <w:t>Listing Regulations”) a meeting of the Board of Directors of the Company is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 xml:space="preserve">scheduled to be held </w:t>
      </w:r>
      <w:r>
        <w:rPr>
          <w:rFonts w:asciiTheme="majorHAnsi" w:hAnsiTheme="majorHAnsi" w:cstheme="majorHAnsi"/>
          <w:sz w:val="22"/>
          <w:szCs w:val="22"/>
        </w:rPr>
        <w:t xml:space="preserve">on </w:t>
      </w:r>
      <w:r w:rsidRPr="00256A13">
        <w:rPr>
          <w:rFonts w:asciiTheme="majorHAnsi" w:hAnsiTheme="majorHAnsi" w:cstheme="majorHAnsi"/>
          <w:b/>
          <w:sz w:val="22"/>
          <w:szCs w:val="22"/>
        </w:rPr>
        <w:t>Thursday, July 31, 2025</w:t>
      </w:r>
      <w:r w:rsidRPr="00256A1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to consider and approve the inter alia, the </w:t>
      </w:r>
      <w:r w:rsidR="00702529" w:rsidRPr="007F71F8">
        <w:rPr>
          <w:rFonts w:asciiTheme="majorHAnsi" w:hAnsiTheme="majorHAnsi" w:cstheme="majorHAnsi"/>
          <w:sz w:val="22"/>
          <w:szCs w:val="22"/>
        </w:rPr>
        <w:t>Unaudited and Audited (Standalone) Financial Results of the Company</w:t>
      </w:r>
      <w:r w:rsidR="006C2029">
        <w:rPr>
          <w:rFonts w:asciiTheme="majorHAnsi" w:hAnsiTheme="majorHAnsi" w:cstheme="majorHAnsi"/>
          <w:sz w:val="22"/>
          <w:szCs w:val="22"/>
        </w:rPr>
        <w:t xml:space="preserve"> for the following periods</w:t>
      </w:r>
      <w:r w:rsidR="00702529" w:rsidRPr="007F71F8">
        <w:rPr>
          <w:rFonts w:asciiTheme="majorHAnsi" w:hAnsiTheme="majorHAnsi" w:cstheme="majorHAnsi"/>
          <w:sz w:val="22"/>
          <w:szCs w:val="22"/>
        </w:rPr>
        <w:t>:</w:t>
      </w:r>
    </w:p>
    <w:p w:rsidR="00702529" w:rsidRPr="007F71F8" w:rsidRDefault="00702529" w:rsidP="00146EB1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261"/>
        <w:gridCol w:w="3492"/>
      </w:tblGrid>
      <w:tr w:rsidR="00702529" w:rsidRPr="007F71F8" w:rsidTr="00702529">
        <w:tc>
          <w:tcPr>
            <w:tcW w:w="562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b/>
                <w:sz w:val="22"/>
                <w:szCs w:val="22"/>
              </w:rPr>
              <w:t>Sr. No.</w:t>
            </w:r>
          </w:p>
        </w:tc>
        <w:tc>
          <w:tcPr>
            <w:tcW w:w="1701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b/>
                <w:sz w:val="22"/>
                <w:szCs w:val="22"/>
              </w:rPr>
              <w:t>Particulars</w:t>
            </w:r>
          </w:p>
        </w:tc>
        <w:tc>
          <w:tcPr>
            <w:tcW w:w="3261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b/>
                <w:sz w:val="22"/>
                <w:szCs w:val="22"/>
              </w:rPr>
              <w:t>Period</w:t>
            </w:r>
          </w:p>
        </w:tc>
        <w:tc>
          <w:tcPr>
            <w:tcW w:w="3492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b/>
                <w:sz w:val="22"/>
                <w:szCs w:val="22"/>
              </w:rPr>
              <w:t>Unaudited/Audited</w:t>
            </w:r>
          </w:p>
        </w:tc>
      </w:tr>
      <w:tr w:rsidR="00702529" w:rsidRPr="007F71F8" w:rsidTr="00702529">
        <w:tc>
          <w:tcPr>
            <w:tcW w:w="562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 xml:space="preserve">Financial </w:t>
            </w:r>
            <w:r w:rsidR="002D76DD" w:rsidRPr="007F71F8">
              <w:rPr>
                <w:rFonts w:asciiTheme="majorHAnsi" w:hAnsiTheme="majorHAnsi" w:cstheme="majorHAnsi"/>
                <w:sz w:val="22"/>
                <w:szCs w:val="22"/>
              </w:rPr>
              <w:t>Year 2017-18</w:t>
            </w:r>
          </w:p>
        </w:tc>
        <w:tc>
          <w:tcPr>
            <w:tcW w:w="3261" w:type="dxa"/>
          </w:tcPr>
          <w:p w:rsidR="00702529" w:rsidRPr="007F71F8" w:rsidRDefault="00702529" w:rsidP="007F71F8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</w:t>
            </w:r>
            <w:r w:rsidR="002D76DD" w:rsidRPr="007F71F8">
              <w:rPr>
                <w:rFonts w:asciiTheme="majorHAnsi" w:hAnsiTheme="majorHAnsi" w:cstheme="majorHAnsi"/>
              </w:rPr>
              <w:t>e Months Ended December 31, 2017</w:t>
            </w:r>
            <w:r w:rsidRPr="007F71F8">
              <w:rPr>
                <w:rFonts w:asciiTheme="majorHAnsi" w:hAnsiTheme="majorHAnsi" w:cstheme="majorHAnsi"/>
              </w:rPr>
              <w:t>.</w:t>
            </w:r>
          </w:p>
          <w:p w:rsidR="00702529" w:rsidRPr="007F71F8" w:rsidRDefault="00702529" w:rsidP="007F71F8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</w:t>
            </w:r>
            <w:r w:rsidR="002D76DD" w:rsidRPr="007F71F8">
              <w:rPr>
                <w:rFonts w:asciiTheme="majorHAnsi" w:hAnsiTheme="majorHAnsi" w:cstheme="majorHAnsi"/>
              </w:rPr>
              <w:t>ancial Year Ended March 31, 2018</w:t>
            </w:r>
            <w:r w:rsidRPr="007F71F8">
              <w:rPr>
                <w:rFonts w:asciiTheme="majorHAnsi" w:hAnsiTheme="majorHAnsi" w:cstheme="majorHAnsi"/>
              </w:rPr>
              <w:t>.</w:t>
            </w:r>
          </w:p>
          <w:p w:rsidR="00702529" w:rsidRPr="007F71F8" w:rsidRDefault="007025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92" w:type="dxa"/>
          </w:tcPr>
          <w:p w:rsidR="00702529" w:rsidRPr="007F71F8" w:rsidRDefault="00702529" w:rsidP="007F71F8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702529" w:rsidRPr="007F71F8" w:rsidRDefault="00702529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702529" w:rsidRPr="007F71F8" w:rsidRDefault="00702529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702529" w:rsidRPr="007F71F8" w:rsidRDefault="00702529" w:rsidP="007F71F8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F71F8">
        <w:trPr>
          <w:trHeight w:val="1851"/>
        </w:trPr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2018-19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2018.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</w:t>
            </w:r>
            <w:r w:rsidR="00E21AD4" w:rsidRPr="007F71F8">
              <w:rPr>
                <w:rFonts w:asciiTheme="majorHAnsi" w:hAnsiTheme="majorHAnsi" w:cstheme="majorHAnsi"/>
              </w:rPr>
              <w:t>Year</w:t>
            </w:r>
            <w:r w:rsidRPr="007F71F8">
              <w:rPr>
                <w:rFonts w:asciiTheme="majorHAnsi" w:hAnsiTheme="majorHAnsi" w:cstheme="majorHAnsi"/>
              </w:rPr>
              <w:t xml:space="preserve"> Ended September 30, 2018.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2018.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2019.</w:t>
            </w: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02529"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2019-20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2019.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</w:t>
            </w:r>
            <w:proofErr w:type="gramStart"/>
            <w:r w:rsidRPr="007F71F8">
              <w:rPr>
                <w:rFonts w:asciiTheme="majorHAnsi" w:hAnsiTheme="majorHAnsi" w:cstheme="majorHAnsi"/>
              </w:rPr>
              <w:t>year</w:t>
            </w:r>
            <w:proofErr w:type="gramEnd"/>
            <w:r w:rsidRPr="007F71F8">
              <w:rPr>
                <w:rFonts w:asciiTheme="majorHAnsi" w:hAnsiTheme="majorHAnsi" w:cstheme="majorHAnsi"/>
              </w:rPr>
              <w:t xml:space="preserve"> Ended September 30, 2019.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2019.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2020.</w:t>
            </w:r>
          </w:p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02529"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2020-21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2020.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Year Ended September 30, 2020.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2020.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2021.</w:t>
            </w:r>
          </w:p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02529"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2021-22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2021.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Year Ended September 30, 2021.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2021.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2022.</w:t>
            </w: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F71F8">
        <w:trPr>
          <w:trHeight w:val="3368"/>
        </w:trPr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2022-23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2022.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Year Ended September 30, 2022.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2022.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2023.</w:t>
            </w: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F71F8">
        <w:trPr>
          <w:trHeight w:val="3406"/>
        </w:trPr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2023-24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2023.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Year Ended September 30, 2023.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2023.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2024.</w:t>
            </w: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02529"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2024-25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1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</w:rPr>
              <w:t xml:space="preserve"> Quarter Ended June 30, 2024.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2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nd</w:t>
            </w:r>
            <w:r w:rsidRPr="007F71F8">
              <w:rPr>
                <w:rFonts w:asciiTheme="majorHAnsi" w:hAnsiTheme="majorHAnsi" w:cstheme="majorHAnsi"/>
              </w:rPr>
              <w:t xml:space="preserve"> Quarter and Half Year Ended September 30, 2024.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3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rd</w:t>
            </w:r>
            <w:r w:rsidRPr="007F71F8">
              <w:rPr>
                <w:rFonts w:asciiTheme="majorHAnsi" w:hAnsiTheme="majorHAnsi" w:cstheme="majorHAnsi"/>
              </w:rPr>
              <w:t xml:space="preserve"> quarter Ended and Nine Months Ended December 31, 2024.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4</w:t>
            </w:r>
            <w:r w:rsidRPr="007F71F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7F71F8">
              <w:rPr>
                <w:rFonts w:asciiTheme="majorHAnsi" w:hAnsiTheme="majorHAnsi" w:cstheme="majorHAnsi"/>
              </w:rPr>
              <w:t xml:space="preserve"> Quarter and Financial Year Ended March 31, 2025.</w:t>
            </w:r>
          </w:p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92" w:type="dxa"/>
          </w:tcPr>
          <w:p w:rsidR="002D76DD" w:rsidRPr="007F71F8" w:rsidRDefault="002D76DD" w:rsidP="007F71F8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Financial Results with Limited Review Report.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Unaudited Standalone &amp;</w:t>
            </w:r>
          </w:p>
          <w:p w:rsidR="002D76DD" w:rsidRPr="007F71F8" w:rsidRDefault="002D76DD" w:rsidP="007F71F8">
            <w:pPr>
              <w:pStyle w:val="ListParagraph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Financial Results with Limited Review Report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  <w:p w:rsidR="002D76DD" w:rsidRPr="007F71F8" w:rsidRDefault="002D76DD" w:rsidP="007F71F8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7F71F8">
              <w:rPr>
                <w:rFonts w:asciiTheme="majorHAnsi" w:hAnsiTheme="majorHAnsi" w:cstheme="majorHAnsi"/>
              </w:rPr>
              <w:t>Audited Standalone Financial Results with Audit Report Thereon</w:t>
            </w:r>
            <w:r w:rsidR="007F71F8">
              <w:rPr>
                <w:rFonts w:asciiTheme="majorHAnsi" w:hAnsiTheme="majorHAnsi" w:cstheme="majorHAnsi"/>
              </w:rPr>
              <w:t>.</w:t>
            </w:r>
          </w:p>
        </w:tc>
      </w:tr>
      <w:tr w:rsidR="002D76DD" w:rsidRPr="007F71F8" w:rsidTr="00702529">
        <w:tc>
          <w:tcPr>
            <w:tcW w:w="562" w:type="dxa"/>
          </w:tcPr>
          <w:p w:rsidR="002D76DD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Financial Year 2025-26</w:t>
            </w:r>
          </w:p>
        </w:tc>
        <w:tc>
          <w:tcPr>
            <w:tcW w:w="3261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7F71F8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 xml:space="preserve"> Quarter Ended June 30, 2025.</w:t>
            </w:r>
          </w:p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92" w:type="dxa"/>
          </w:tcPr>
          <w:p w:rsidR="002D76DD" w:rsidRPr="007F71F8" w:rsidRDefault="002D76DD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F71F8">
              <w:rPr>
                <w:rFonts w:asciiTheme="majorHAnsi" w:hAnsiTheme="majorHAnsi" w:cstheme="majorHAnsi"/>
                <w:sz w:val="22"/>
                <w:szCs w:val="22"/>
              </w:rPr>
              <w:t>Unaudited Standalone &amp; Financial Results with Limited Review Report</w:t>
            </w:r>
            <w:r w:rsidR="007F71F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6C2029" w:rsidRPr="007F71F8" w:rsidTr="00A81EEB">
        <w:tc>
          <w:tcPr>
            <w:tcW w:w="562" w:type="dxa"/>
          </w:tcPr>
          <w:p w:rsidR="006C2029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8454" w:type="dxa"/>
            <w:gridSpan w:val="3"/>
          </w:tcPr>
          <w:p w:rsidR="006C2029" w:rsidRPr="007F71F8" w:rsidRDefault="006C2029" w:rsidP="007F71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2029">
              <w:rPr>
                <w:rFonts w:asciiTheme="majorHAnsi" w:hAnsiTheme="majorHAnsi" w:cstheme="majorHAnsi"/>
                <w:sz w:val="22"/>
                <w:szCs w:val="22"/>
              </w:rPr>
              <w:t>Any other business with the permission of the Chair</w:t>
            </w:r>
          </w:p>
        </w:tc>
      </w:tr>
    </w:tbl>
    <w:p w:rsidR="00702529" w:rsidRPr="007F71F8" w:rsidRDefault="00702529" w:rsidP="00146EB1">
      <w:pPr>
        <w:jc w:val="both"/>
        <w:rPr>
          <w:rFonts w:asciiTheme="majorHAnsi" w:hAnsiTheme="majorHAnsi" w:cstheme="majorHAnsi"/>
          <w:sz w:val="22"/>
          <w:szCs w:val="22"/>
        </w:rPr>
      </w:pPr>
      <w:r w:rsidRPr="007F71F8">
        <w:rPr>
          <w:rFonts w:asciiTheme="majorHAnsi" w:hAnsiTheme="majorHAnsi" w:cstheme="majorHAnsi"/>
          <w:sz w:val="22"/>
          <w:szCs w:val="22"/>
        </w:rPr>
        <w:t xml:space="preserve">   </w:t>
      </w:r>
    </w:p>
    <w:p w:rsidR="007F71F8" w:rsidRDefault="007F71F8" w:rsidP="0070252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F71F8" w:rsidRDefault="007F71F8" w:rsidP="0070252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F71F8" w:rsidRDefault="007F71F8" w:rsidP="0070252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256A13" w:rsidRPr="00256A13" w:rsidRDefault="00256A13" w:rsidP="00256A13">
      <w:pPr>
        <w:jc w:val="both"/>
        <w:rPr>
          <w:rFonts w:asciiTheme="majorHAnsi" w:hAnsiTheme="majorHAnsi" w:cstheme="majorHAnsi"/>
          <w:sz w:val="22"/>
          <w:szCs w:val="22"/>
        </w:rPr>
      </w:pPr>
      <w:r w:rsidRPr="00256A13">
        <w:rPr>
          <w:rFonts w:asciiTheme="majorHAnsi" w:hAnsiTheme="majorHAnsi" w:cstheme="majorHAnsi"/>
          <w:sz w:val="22"/>
          <w:szCs w:val="22"/>
        </w:rPr>
        <w:lastRenderedPageBreak/>
        <w:t xml:space="preserve">Further, in continuation to our earlier intimation dated </w:t>
      </w:r>
      <w:r w:rsidR="002B221A">
        <w:rPr>
          <w:rFonts w:asciiTheme="majorHAnsi" w:hAnsiTheme="majorHAnsi" w:cstheme="majorHAnsi"/>
          <w:sz w:val="22"/>
          <w:szCs w:val="22"/>
        </w:rPr>
        <w:t xml:space="preserve">June 30, </w:t>
      </w:r>
      <w:r w:rsidRPr="00256A13">
        <w:rPr>
          <w:rFonts w:asciiTheme="majorHAnsi" w:hAnsiTheme="majorHAnsi" w:cstheme="majorHAnsi"/>
          <w:sz w:val="22"/>
          <w:szCs w:val="22"/>
        </w:rPr>
        <w:t>2025, in compliance of the provisions</w:t>
      </w:r>
      <w:r w:rsidR="002B221A"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>of the SEBI (Prohibition of Insider Trading) Regulations, 2015 and the Company’s “Code of Internal</w:t>
      </w:r>
      <w:r w:rsidR="002B221A"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>Procedures and Conduct for Regulating, Monitoring and Reporting of Trading in Securities by Insiders",</w:t>
      </w:r>
    </w:p>
    <w:p w:rsidR="00256A13" w:rsidRDefault="00256A13" w:rsidP="002B221A">
      <w:pPr>
        <w:jc w:val="both"/>
        <w:rPr>
          <w:rFonts w:asciiTheme="majorHAnsi" w:hAnsiTheme="majorHAnsi" w:cstheme="majorHAnsi"/>
          <w:sz w:val="22"/>
          <w:szCs w:val="22"/>
        </w:rPr>
      </w:pPr>
      <w:r w:rsidRPr="00256A13">
        <w:rPr>
          <w:rFonts w:asciiTheme="majorHAnsi" w:hAnsiTheme="majorHAnsi" w:cstheme="majorHAnsi"/>
          <w:sz w:val="22"/>
          <w:szCs w:val="22"/>
        </w:rPr>
        <w:t>the Trading Window for dealing in the securities of the Company for all the Designated Persons</w:t>
      </w:r>
      <w:r w:rsidR="002B221A">
        <w:rPr>
          <w:rFonts w:asciiTheme="majorHAnsi" w:hAnsiTheme="majorHAnsi" w:cstheme="majorHAnsi"/>
          <w:sz w:val="22"/>
          <w:szCs w:val="22"/>
        </w:rPr>
        <w:t xml:space="preserve"> </w:t>
      </w:r>
      <w:r w:rsidRPr="00256A13">
        <w:rPr>
          <w:rFonts w:asciiTheme="majorHAnsi" w:hAnsiTheme="majorHAnsi" w:cstheme="majorHAnsi"/>
          <w:sz w:val="22"/>
          <w:szCs w:val="22"/>
        </w:rPr>
        <w:t xml:space="preserve">including Insiders, </w:t>
      </w:r>
      <w:r w:rsidR="002B221A" w:rsidRPr="002B221A">
        <w:rPr>
          <w:rFonts w:asciiTheme="majorHAnsi" w:hAnsiTheme="majorHAnsi" w:cstheme="majorHAnsi"/>
          <w:sz w:val="22"/>
          <w:szCs w:val="22"/>
        </w:rPr>
        <w:t xml:space="preserve">had already been closed </w:t>
      </w:r>
      <w:proofErr w:type="spellStart"/>
      <w:r w:rsidR="002B221A" w:rsidRPr="002B221A">
        <w:rPr>
          <w:rFonts w:asciiTheme="majorHAnsi" w:hAnsiTheme="majorHAnsi" w:cstheme="majorHAnsi"/>
          <w:sz w:val="22"/>
          <w:szCs w:val="22"/>
        </w:rPr>
        <w:t>w.e.f</w:t>
      </w:r>
      <w:proofErr w:type="spellEnd"/>
      <w:r w:rsidR="002B221A" w:rsidRPr="002B221A">
        <w:rPr>
          <w:rFonts w:asciiTheme="majorHAnsi" w:hAnsiTheme="majorHAnsi" w:cstheme="majorHAnsi"/>
          <w:sz w:val="22"/>
          <w:szCs w:val="22"/>
        </w:rPr>
        <w:t xml:space="preserve">. </w:t>
      </w:r>
      <w:r w:rsidR="002B221A">
        <w:rPr>
          <w:rFonts w:asciiTheme="majorHAnsi" w:hAnsiTheme="majorHAnsi" w:cstheme="majorHAnsi"/>
          <w:sz w:val="22"/>
          <w:szCs w:val="22"/>
        </w:rPr>
        <w:t xml:space="preserve">July </w:t>
      </w:r>
      <w:r w:rsidR="002B221A" w:rsidRPr="002B221A">
        <w:rPr>
          <w:rFonts w:asciiTheme="majorHAnsi" w:hAnsiTheme="majorHAnsi" w:cstheme="majorHAnsi"/>
          <w:sz w:val="22"/>
          <w:szCs w:val="22"/>
        </w:rPr>
        <w:t xml:space="preserve">01, 2025, and </w:t>
      </w:r>
      <w:r w:rsidR="002B221A">
        <w:rPr>
          <w:rFonts w:asciiTheme="majorHAnsi" w:hAnsiTheme="majorHAnsi" w:cstheme="majorHAnsi"/>
          <w:sz w:val="22"/>
          <w:szCs w:val="22"/>
        </w:rPr>
        <w:t xml:space="preserve">would remain closed until 48 hours after the said financial results are declared to the stock exchange. </w:t>
      </w:r>
    </w:p>
    <w:p w:rsidR="00256A13" w:rsidRDefault="00256A13" w:rsidP="0070252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46EB1" w:rsidRPr="007F71F8" w:rsidRDefault="00146EB1" w:rsidP="00146EB1">
      <w:pPr>
        <w:jc w:val="both"/>
        <w:rPr>
          <w:rFonts w:asciiTheme="majorHAnsi" w:hAnsiTheme="majorHAnsi" w:cstheme="majorHAnsi"/>
          <w:sz w:val="22"/>
          <w:szCs w:val="22"/>
        </w:rPr>
      </w:pPr>
      <w:r w:rsidRPr="007F71F8">
        <w:rPr>
          <w:rFonts w:asciiTheme="majorHAnsi" w:hAnsiTheme="majorHAnsi" w:cstheme="majorHAnsi"/>
          <w:sz w:val="22"/>
          <w:szCs w:val="22"/>
        </w:rPr>
        <w:t xml:space="preserve">You are requested to take the </w:t>
      </w:r>
      <w:r w:rsidR="00256A13">
        <w:rPr>
          <w:rFonts w:asciiTheme="majorHAnsi" w:hAnsiTheme="majorHAnsi" w:cstheme="majorHAnsi"/>
          <w:sz w:val="22"/>
          <w:szCs w:val="22"/>
        </w:rPr>
        <w:t xml:space="preserve">same in your </w:t>
      </w:r>
      <w:r w:rsidRPr="007F71F8">
        <w:rPr>
          <w:rFonts w:asciiTheme="majorHAnsi" w:hAnsiTheme="majorHAnsi" w:cstheme="majorHAnsi"/>
          <w:sz w:val="22"/>
          <w:szCs w:val="22"/>
        </w:rPr>
        <w:t xml:space="preserve">record. </w:t>
      </w:r>
    </w:p>
    <w:p w:rsidR="00702529" w:rsidRPr="007F71F8" w:rsidRDefault="00702529" w:rsidP="00146EB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46EB1" w:rsidRPr="007F71F8" w:rsidRDefault="00146EB1" w:rsidP="00146EB1">
      <w:pPr>
        <w:jc w:val="both"/>
        <w:rPr>
          <w:rFonts w:asciiTheme="majorHAnsi" w:hAnsiTheme="majorHAnsi" w:cstheme="majorHAnsi"/>
          <w:sz w:val="22"/>
          <w:szCs w:val="22"/>
        </w:rPr>
      </w:pPr>
      <w:r w:rsidRPr="007F71F8">
        <w:rPr>
          <w:rFonts w:asciiTheme="majorHAnsi" w:hAnsiTheme="majorHAnsi" w:cstheme="majorHAnsi"/>
          <w:sz w:val="22"/>
          <w:szCs w:val="22"/>
        </w:rPr>
        <w:t xml:space="preserve">Thanking you, </w:t>
      </w:r>
    </w:p>
    <w:p w:rsidR="00146EB1" w:rsidRPr="007F71F8" w:rsidRDefault="00146EB1" w:rsidP="00146EB1">
      <w:pPr>
        <w:jc w:val="both"/>
        <w:rPr>
          <w:rFonts w:asciiTheme="majorHAnsi" w:hAnsiTheme="majorHAnsi" w:cstheme="majorHAnsi"/>
          <w:sz w:val="22"/>
          <w:szCs w:val="22"/>
        </w:rPr>
      </w:pPr>
      <w:r w:rsidRPr="007F71F8">
        <w:rPr>
          <w:rFonts w:asciiTheme="majorHAnsi" w:hAnsiTheme="majorHAnsi" w:cstheme="majorHAnsi"/>
          <w:sz w:val="22"/>
          <w:szCs w:val="22"/>
        </w:rPr>
        <w:t xml:space="preserve">Yours faithfully, </w:t>
      </w:r>
    </w:p>
    <w:p w:rsidR="00146EB1" w:rsidRPr="007F71F8" w:rsidRDefault="00146EB1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 xml:space="preserve">For </w:t>
      </w:r>
      <w:r w:rsidR="00702529" w:rsidRPr="007F71F8">
        <w:rPr>
          <w:rFonts w:asciiTheme="majorHAnsi" w:hAnsiTheme="majorHAnsi" w:cstheme="majorHAnsi"/>
          <w:b/>
          <w:sz w:val="22"/>
          <w:szCs w:val="22"/>
        </w:rPr>
        <w:t xml:space="preserve">K.S. Oils </w:t>
      </w:r>
      <w:r w:rsidRPr="007F71F8">
        <w:rPr>
          <w:rFonts w:asciiTheme="majorHAnsi" w:hAnsiTheme="majorHAnsi" w:cstheme="majorHAnsi"/>
          <w:b/>
          <w:sz w:val="22"/>
          <w:szCs w:val="22"/>
        </w:rPr>
        <w:t>Limited</w:t>
      </w:r>
    </w:p>
    <w:p w:rsidR="00146EB1" w:rsidRPr="007F71F8" w:rsidRDefault="00146EB1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>(</w:t>
      </w:r>
      <w:r w:rsidR="00702529" w:rsidRPr="007F71F8">
        <w:rPr>
          <w:rFonts w:asciiTheme="majorHAnsi" w:hAnsiTheme="majorHAnsi" w:cstheme="majorHAnsi"/>
          <w:b/>
          <w:sz w:val="22"/>
          <w:szCs w:val="22"/>
        </w:rPr>
        <w:t>Acquired by Soy-</w:t>
      </w:r>
      <w:proofErr w:type="spellStart"/>
      <w:r w:rsidR="00702529" w:rsidRPr="007F71F8">
        <w:rPr>
          <w:rFonts w:asciiTheme="majorHAnsi" w:hAnsiTheme="majorHAnsi" w:cstheme="majorHAnsi"/>
          <w:b/>
          <w:sz w:val="22"/>
          <w:szCs w:val="22"/>
        </w:rPr>
        <w:t>Sar</w:t>
      </w:r>
      <w:proofErr w:type="spellEnd"/>
      <w:r w:rsidR="00702529" w:rsidRPr="007F71F8">
        <w:rPr>
          <w:rFonts w:asciiTheme="majorHAnsi" w:hAnsiTheme="majorHAnsi" w:cstheme="majorHAnsi"/>
          <w:b/>
          <w:sz w:val="22"/>
          <w:szCs w:val="22"/>
        </w:rPr>
        <w:t xml:space="preserve"> Edible Private Limited</w:t>
      </w:r>
      <w:r w:rsidRPr="007F71F8">
        <w:rPr>
          <w:rFonts w:asciiTheme="majorHAnsi" w:hAnsiTheme="majorHAnsi" w:cstheme="majorHAnsi"/>
          <w:b/>
          <w:sz w:val="22"/>
          <w:szCs w:val="22"/>
        </w:rPr>
        <w:t>)</w:t>
      </w:r>
    </w:p>
    <w:p w:rsidR="00702529" w:rsidRPr="007F71F8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02529" w:rsidRPr="007F71F8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02529" w:rsidRPr="007F71F8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02529" w:rsidRPr="007F71F8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7F71F8">
        <w:rPr>
          <w:rFonts w:asciiTheme="majorHAnsi" w:hAnsiTheme="majorHAnsi" w:cstheme="majorHAnsi"/>
          <w:b/>
          <w:sz w:val="22"/>
          <w:szCs w:val="22"/>
        </w:rPr>
        <w:t>Jyoti</w:t>
      </w:r>
      <w:proofErr w:type="spellEnd"/>
      <w:r w:rsidRPr="007F71F8">
        <w:rPr>
          <w:rFonts w:asciiTheme="majorHAnsi" w:hAnsiTheme="majorHAnsi" w:cstheme="majorHAnsi"/>
          <w:b/>
          <w:sz w:val="22"/>
          <w:szCs w:val="22"/>
        </w:rPr>
        <w:t xml:space="preserve"> Sharma</w:t>
      </w:r>
    </w:p>
    <w:p w:rsidR="00702529" w:rsidRPr="007F71F8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 xml:space="preserve">Company </w:t>
      </w:r>
      <w:r w:rsidR="00B511AF" w:rsidRPr="007F71F8">
        <w:rPr>
          <w:rFonts w:asciiTheme="majorHAnsi" w:hAnsiTheme="majorHAnsi" w:cstheme="majorHAnsi"/>
          <w:b/>
          <w:sz w:val="22"/>
          <w:szCs w:val="22"/>
        </w:rPr>
        <w:t>Secretary</w:t>
      </w:r>
    </w:p>
    <w:p w:rsidR="00702529" w:rsidRDefault="00702529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F71F8">
        <w:rPr>
          <w:rFonts w:asciiTheme="majorHAnsi" w:hAnsiTheme="majorHAnsi" w:cstheme="majorHAnsi"/>
          <w:b/>
          <w:sz w:val="22"/>
          <w:szCs w:val="22"/>
        </w:rPr>
        <w:t>M. No. A55135</w:t>
      </w:r>
    </w:p>
    <w:p w:rsidR="00A17E1B" w:rsidRDefault="00A17E1B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A17E1B" w:rsidRDefault="00A17E1B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Place: Gurgaon</w:t>
      </w:r>
    </w:p>
    <w:p w:rsidR="00A17E1B" w:rsidRPr="007F71F8" w:rsidRDefault="00A17E1B" w:rsidP="00146EB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A0405E" w:rsidRPr="007F71F8" w:rsidRDefault="00A0405E" w:rsidP="00146EB1">
      <w:pPr>
        <w:rPr>
          <w:rFonts w:asciiTheme="majorHAnsi" w:hAnsiTheme="majorHAnsi" w:cstheme="majorHAnsi"/>
          <w:sz w:val="22"/>
          <w:szCs w:val="22"/>
        </w:rPr>
      </w:pPr>
    </w:p>
    <w:sectPr w:rsidR="00A0405E" w:rsidRPr="007F71F8" w:rsidSect="00AE026B">
      <w:headerReference w:type="default" r:id="rId8"/>
      <w:footerReference w:type="default" r:id="rId9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A4" w:rsidRDefault="002D74A4" w:rsidP="00795118">
      <w:r>
        <w:separator/>
      </w:r>
    </w:p>
  </w:endnote>
  <w:endnote w:type="continuationSeparator" w:id="0">
    <w:p w:rsidR="002D74A4" w:rsidRDefault="002D74A4" w:rsidP="0079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B2" w:rsidRDefault="006E3984" w:rsidP="00B8477F">
    <w:pPr>
      <w:pStyle w:val="Footer"/>
      <w:rPr>
        <w:rFonts w:cstheme="minorHAnsi"/>
        <w:b/>
      </w:rPr>
    </w:pPr>
    <w:r>
      <w:rPr>
        <w:rFonts w:cstheme="minorHAnsi"/>
        <w:noProof/>
        <w:sz w:val="18"/>
        <w:szCs w:val="18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30384" wp14:editId="2E6A9E58">
              <wp:simplePos x="0" y="0"/>
              <wp:positionH relativeFrom="margin">
                <wp:align>left</wp:align>
              </wp:positionH>
              <wp:positionV relativeFrom="paragraph">
                <wp:posOffset>-45720</wp:posOffset>
              </wp:positionV>
              <wp:extent cx="6210300" cy="45719"/>
              <wp:effectExtent l="0" t="0" r="1905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03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C2CD8" id="Rectangle 1" o:spid="_x0000_s1026" style="position:absolute;margin-left:0;margin-top:-3.6pt;width:489pt;height:3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" fillcolor="#5b9bd5 [3204]" strokecolor="#1f4d78 [1604]" strokeweight="1pt">
              <w10:wrap anchorx="margin"/>
            </v:rect>
          </w:pict>
        </mc:Fallback>
      </mc:AlternateContent>
    </w:r>
    <w:r w:rsidR="007412D0" w:rsidRPr="001F44B2">
      <w:rPr>
        <w:rFonts w:cstheme="minorHAnsi"/>
        <w:b/>
      </w:rPr>
      <w:t xml:space="preserve">K.S. Oils Limited </w:t>
    </w:r>
  </w:p>
  <w:p w:rsidR="007412D0" w:rsidRPr="001F44B2" w:rsidRDefault="007412D0">
    <w:pPr>
      <w:pStyle w:val="Footer"/>
      <w:rPr>
        <w:rFonts w:cstheme="minorHAnsi"/>
        <w:b/>
        <w:szCs w:val="144"/>
      </w:rPr>
    </w:pPr>
    <w:r w:rsidRPr="001F44B2">
      <w:rPr>
        <w:rFonts w:cstheme="minorHAnsi"/>
        <w:b/>
      </w:rPr>
      <w:t>(</w:t>
    </w:r>
    <w:r w:rsidRPr="001F44B2">
      <w:rPr>
        <w:rFonts w:cstheme="minorHAnsi"/>
        <w:b/>
        <w:szCs w:val="144"/>
      </w:rPr>
      <w:t>Acquired by Soy-</w:t>
    </w:r>
    <w:proofErr w:type="spellStart"/>
    <w:r w:rsidRPr="001F44B2">
      <w:rPr>
        <w:rFonts w:cstheme="minorHAnsi"/>
        <w:b/>
        <w:szCs w:val="144"/>
      </w:rPr>
      <w:t>Sar</w:t>
    </w:r>
    <w:proofErr w:type="spellEnd"/>
    <w:r w:rsidRPr="001F44B2">
      <w:rPr>
        <w:rFonts w:cstheme="minorHAnsi"/>
        <w:b/>
        <w:szCs w:val="144"/>
      </w:rPr>
      <w:t xml:space="preserve"> Edible Private Limited)</w:t>
    </w:r>
  </w:p>
  <w:p w:rsidR="007412D0" w:rsidRPr="00886663" w:rsidRDefault="009E7AA8">
    <w:pPr>
      <w:pStyle w:val="Foo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Corporate Office                               </w:t>
    </w:r>
    <w:r w:rsidR="007412D0" w:rsidRPr="00886663">
      <w:rPr>
        <w:rFonts w:cstheme="minorHAnsi"/>
        <w:b/>
        <w:sz w:val="18"/>
        <w:szCs w:val="18"/>
      </w:rPr>
      <w:t xml:space="preserve">Registered Office: </w:t>
    </w:r>
    <w:r w:rsidR="00490A51" w:rsidRPr="00886663">
      <w:rPr>
        <w:rFonts w:cstheme="minorHAnsi"/>
        <w:b/>
        <w:sz w:val="18"/>
        <w:szCs w:val="18"/>
      </w:rPr>
      <w:t xml:space="preserve">              </w:t>
    </w:r>
    <w:r>
      <w:rPr>
        <w:rFonts w:cstheme="minorHAnsi"/>
        <w:b/>
        <w:sz w:val="18"/>
        <w:szCs w:val="18"/>
      </w:rPr>
      <w:t xml:space="preserve">                    </w:t>
    </w:r>
    <w:r w:rsidR="007412D0" w:rsidRPr="00886663">
      <w:rPr>
        <w:rFonts w:cstheme="minorHAnsi"/>
        <w:b/>
        <w:sz w:val="18"/>
        <w:szCs w:val="18"/>
      </w:rPr>
      <w:t>Work Address:</w:t>
    </w:r>
  </w:p>
  <w:p w:rsidR="007412D0" w:rsidRPr="00886663" w:rsidRDefault="009E7AA8" w:rsidP="007412D0">
    <w:pPr>
      <w:pStyle w:val="Foo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804, 8</w:t>
    </w:r>
    <w:r w:rsidRPr="009E7AA8">
      <w:rPr>
        <w:rFonts w:cstheme="minorHAnsi"/>
        <w:sz w:val="18"/>
        <w:szCs w:val="18"/>
        <w:vertAlign w:val="superscript"/>
      </w:rPr>
      <w:t>th</w:t>
    </w:r>
    <w:r>
      <w:rPr>
        <w:rFonts w:cstheme="minorHAnsi"/>
        <w:sz w:val="18"/>
        <w:szCs w:val="18"/>
      </w:rPr>
      <w:t xml:space="preserve"> Floor, Park </w:t>
    </w:r>
    <w:proofErr w:type="spellStart"/>
    <w:r>
      <w:rPr>
        <w:rFonts w:cstheme="minorHAnsi"/>
        <w:sz w:val="18"/>
        <w:szCs w:val="18"/>
      </w:rPr>
      <w:t>Centra</w:t>
    </w:r>
    <w:proofErr w:type="spellEnd"/>
    <w:r>
      <w:rPr>
        <w:rFonts w:cstheme="minorHAnsi"/>
        <w:sz w:val="18"/>
        <w:szCs w:val="18"/>
      </w:rPr>
      <w:t xml:space="preserve">               </w:t>
    </w:r>
    <w:proofErr w:type="spellStart"/>
    <w:r w:rsidR="003361CF" w:rsidRPr="003361CF">
      <w:rPr>
        <w:rFonts w:cstheme="minorHAnsi"/>
        <w:sz w:val="18"/>
        <w:szCs w:val="18"/>
      </w:rPr>
      <w:t>Khasra</w:t>
    </w:r>
    <w:proofErr w:type="spellEnd"/>
    <w:r w:rsidR="003361CF" w:rsidRPr="003361CF">
      <w:rPr>
        <w:rFonts w:cstheme="minorHAnsi"/>
        <w:sz w:val="18"/>
        <w:szCs w:val="18"/>
      </w:rPr>
      <w:t xml:space="preserve"> no 61,22/1,28/1/2 </w:t>
    </w:r>
    <w:r w:rsidR="003361CF">
      <w:rPr>
        <w:rFonts w:cstheme="minorHAnsi"/>
        <w:sz w:val="18"/>
        <w:szCs w:val="18"/>
      </w:rPr>
      <w:tab/>
      <w:t xml:space="preserve">     </w:t>
    </w:r>
    <w:r>
      <w:rPr>
        <w:rFonts w:cstheme="minorHAnsi"/>
        <w:sz w:val="18"/>
        <w:szCs w:val="18"/>
      </w:rPr>
      <w:t xml:space="preserve">               </w:t>
    </w:r>
    <w:proofErr w:type="spellStart"/>
    <w:r w:rsidR="007412D0" w:rsidRPr="00886663">
      <w:rPr>
        <w:rFonts w:cstheme="minorHAnsi"/>
        <w:sz w:val="18"/>
        <w:szCs w:val="18"/>
      </w:rPr>
      <w:t>Guna</w:t>
    </w:r>
    <w:proofErr w:type="spellEnd"/>
    <w:r w:rsidR="007412D0" w:rsidRPr="00886663">
      <w:rPr>
        <w:rFonts w:cstheme="minorHAnsi"/>
        <w:sz w:val="18"/>
        <w:szCs w:val="18"/>
      </w:rPr>
      <w:t xml:space="preserve">, Village </w:t>
    </w:r>
    <w:proofErr w:type="spellStart"/>
    <w:r w:rsidR="007412D0" w:rsidRPr="00886663">
      <w:rPr>
        <w:rFonts w:cstheme="minorHAnsi"/>
        <w:sz w:val="18"/>
        <w:szCs w:val="18"/>
      </w:rPr>
      <w:t>Silawati</w:t>
    </w:r>
    <w:proofErr w:type="spellEnd"/>
    <w:r w:rsidR="007412D0" w:rsidRPr="00886663">
      <w:rPr>
        <w:rFonts w:cstheme="minorHAnsi"/>
        <w:sz w:val="18"/>
        <w:szCs w:val="18"/>
      </w:rPr>
      <w:t xml:space="preserve"> (Opp. </w:t>
    </w:r>
    <w:proofErr w:type="spellStart"/>
    <w:r w:rsidR="007412D0" w:rsidRPr="00886663">
      <w:rPr>
        <w:rFonts w:cstheme="minorHAnsi"/>
        <w:sz w:val="18"/>
        <w:szCs w:val="18"/>
      </w:rPr>
      <w:t>Vandana</w:t>
    </w:r>
    <w:proofErr w:type="spellEnd"/>
    <w:r w:rsidR="007412D0" w:rsidRPr="00886663">
      <w:rPr>
        <w:rFonts w:cstheme="minorHAnsi"/>
        <w:sz w:val="18"/>
        <w:szCs w:val="18"/>
      </w:rPr>
      <w:t xml:space="preserve"> Hotel</w:t>
    </w:r>
    <w:r w:rsidR="00490A51" w:rsidRPr="00886663">
      <w:rPr>
        <w:rFonts w:cstheme="minorHAnsi"/>
        <w:sz w:val="18"/>
        <w:szCs w:val="18"/>
      </w:rPr>
      <w:t>)</w:t>
    </w:r>
  </w:p>
  <w:p w:rsidR="008148E5" w:rsidRDefault="009E7AA8">
    <w:pPr>
      <w:pStyle w:val="Foo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Sector-30, Gurgaon-</w:t>
    </w:r>
    <w:proofErr w:type="gramStart"/>
    <w:r>
      <w:rPr>
        <w:rFonts w:cstheme="minorHAnsi"/>
        <w:sz w:val="18"/>
        <w:szCs w:val="18"/>
      </w:rPr>
      <w:t xml:space="preserve">122001,   </w:t>
    </w:r>
    <w:proofErr w:type="gramEnd"/>
    <w:r>
      <w:rPr>
        <w:rFonts w:cstheme="minorHAnsi"/>
        <w:sz w:val="18"/>
        <w:szCs w:val="18"/>
      </w:rPr>
      <w:t xml:space="preserve">        </w:t>
    </w:r>
    <w:r w:rsidR="003361CF" w:rsidRPr="003361CF">
      <w:rPr>
        <w:rFonts w:cstheme="minorHAnsi"/>
        <w:sz w:val="18"/>
        <w:szCs w:val="18"/>
      </w:rPr>
      <w:t xml:space="preserve">A. B. Road, </w:t>
    </w:r>
    <w:proofErr w:type="spellStart"/>
    <w:r w:rsidR="003361CF" w:rsidRPr="003361CF">
      <w:rPr>
        <w:rFonts w:cstheme="minorHAnsi"/>
        <w:sz w:val="18"/>
        <w:szCs w:val="18"/>
      </w:rPr>
      <w:t>Silavati</w:t>
    </w:r>
    <w:proofErr w:type="spellEnd"/>
    <w:r w:rsidR="003361CF">
      <w:rPr>
        <w:rFonts w:cstheme="minorHAnsi"/>
        <w:sz w:val="18"/>
        <w:szCs w:val="18"/>
      </w:rPr>
      <w:t xml:space="preserve">, Guna-473001, </w:t>
    </w:r>
    <w:r>
      <w:rPr>
        <w:rFonts w:cstheme="minorHAnsi"/>
        <w:sz w:val="18"/>
        <w:szCs w:val="18"/>
      </w:rPr>
      <w:t xml:space="preserve">      </w:t>
    </w:r>
    <w:r w:rsidR="00490A51" w:rsidRPr="00886663">
      <w:rPr>
        <w:rFonts w:cstheme="minorHAnsi"/>
        <w:sz w:val="18"/>
        <w:szCs w:val="18"/>
      </w:rPr>
      <w:t>A. B. Road Guna-473 001, (M.P).</w:t>
    </w:r>
  </w:p>
  <w:p w:rsidR="009E7AA8" w:rsidRPr="00886663" w:rsidRDefault="009E7AA8">
    <w:pPr>
      <w:pStyle w:val="Foo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Haryana, India                                    </w:t>
    </w:r>
    <w:r w:rsidRPr="00886663">
      <w:rPr>
        <w:rFonts w:cstheme="minorHAnsi"/>
        <w:sz w:val="18"/>
        <w:szCs w:val="18"/>
      </w:rPr>
      <w:t>Madhya Pradesh</w:t>
    </w:r>
    <w:r>
      <w:rPr>
        <w:rFonts w:cstheme="minorHAnsi"/>
        <w:sz w:val="18"/>
        <w:szCs w:val="18"/>
      </w:rPr>
      <w:t xml:space="preserve">     </w:t>
    </w:r>
    <w:r>
      <w:rPr>
        <w:rFonts w:cstheme="minorHAnsi"/>
        <w:sz w:val="18"/>
        <w:szCs w:val="18"/>
      </w:rPr>
      <w:tab/>
      <w:t xml:space="preserve">                                </w:t>
    </w:r>
    <w:r w:rsidRPr="008148E5">
      <w:rPr>
        <w:rFonts w:cstheme="minorHAnsi"/>
        <w:sz w:val="18"/>
        <w:szCs w:val="18"/>
      </w:rPr>
      <w:t xml:space="preserve">Village </w:t>
    </w:r>
    <w:proofErr w:type="spellStart"/>
    <w:r w:rsidRPr="008148E5">
      <w:rPr>
        <w:rFonts w:cstheme="minorHAnsi"/>
        <w:sz w:val="18"/>
        <w:szCs w:val="18"/>
      </w:rPr>
      <w:t>Tathed</w:t>
    </w:r>
    <w:proofErr w:type="spellEnd"/>
    <w:r w:rsidRPr="008148E5">
      <w:rPr>
        <w:rFonts w:cstheme="minorHAnsi"/>
        <w:sz w:val="18"/>
        <w:szCs w:val="18"/>
      </w:rPr>
      <w:t xml:space="preserve">, </w:t>
    </w:r>
    <w:proofErr w:type="spellStart"/>
    <w:r w:rsidRPr="008148E5">
      <w:rPr>
        <w:rFonts w:cstheme="minorHAnsi"/>
        <w:sz w:val="18"/>
        <w:szCs w:val="18"/>
      </w:rPr>
      <w:t>Baran</w:t>
    </w:r>
    <w:proofErr w:type="spellEnd"/>
    <w:r w:rsidRPr="008148E5">
      <w:rPr>
        <w:rFonts w:cstheme="minorHAnsi"/>
        <w:sz w:val="18"/>
        <w:szCs w:val="18"/>
      </w:rPr>
      <w:t xml:space="preserve"> Road, </w:t>
    </w:r>
    <w:proofErr w:type="spellStart"/>
    <w:r w:rsidRPr="008148E5">
      <w:rPr>
        <w:rFonts w:cstheme="minorHAnsi"/>
        <w:sz w:val="18"/>
        <w:szCs w:val="18"/>
      </w:rPr>
      <w:t>kota</w:t>
    </w:r>
    <w:proofErr w:type="spellEnd"/>
    <w:r>
      <w:rPr>
        <w:rFonts w:cstheme="minorHAnsi"/>
        <w:sz w:val="18"/>
        <w:szCs w:val="18"/>
      </w:rPr>
      <w:t>, Rajasthan</w:t>
    </w:r>
  </w:p>
  <w:p w:rsidR="007412D0" w:rsidRPr="00886663" w:rsidRDefault="007412D0">
    <w:pPr>
      <w:pStyle w:val="Footer"/>
      <w:rPr>
        <w:rFonts w:cstheme="minorHAnsi"/>
        <w:sz w:val="18"/>
        <w:szCs w:val="18"/>
      </w:rPr>
    </w:pPr>
    <w:r w:rsidRPr="00886663">
      <w:rPr>
        <w:rFonts w:cstheme="minorHAnsi"/>
        <w:sz w:val="18"/>
        <w:szCs w:val="18"/>
      </w:rPr>
      <w:t>CIN: L15141MP1985PLC003171</w:t>
    </w:r>
    <w:r w:rsidR="008148E5">
      <w:rPr>
        <w:rFonts w:cstheme="minorHAnsi"/>
        <w:sz w:val="18"/>
        <w:szCs w:val="18"/>
      </w:rPr>
      <w:t xml:space="preserve">         </w:t>
    </w:r>
    <w:r w:rsidR="009E7AA8">
      <w:rPr>
        <w:rFonts w:cstheme="minorHAnsi"/>
        <w:sz w:val="18"/>
        <w:szCs w:val="18"/>
      </w:rPr>
      <w:t xml:space="preserve">                               </w:t>
    </w:r>
  </w:p>
  <w:p w:rsidR="007412D0" w:rsidRDefault="007412D0">
    <w:pPr>
      <w:pStyle w:val="Footer"/>
      <w:rPr>
        <w:rFonts w:cstheme="minorHAnsi"/>
        <w:sz w:val="18"/>
        <w:szCs w:val="18"/>
      </w:rPr>
    </w:pPr>
    <w:r w:rsidRPr="00886663">
      <w:rPr>
        <w:rFonts w:cstheme="minorHAnsi"/>
        <w:sz w:val="18"/>
        <w:szCs w:val="18"/>
      </w:rPr>
      <w:t xml:space="preserve">Email: </w:t>
    </w:r>
    <w:hyperlink r:id="rId1" w:history="1">
      <w:r w:rsidR="003361CF" w:rsidRPr="00A346DD">
        <w:rPr>
          <w:rStyle w:val="Hyperlink"/>
          <w:rFonts w:cstheme="minorHAnsi"/>
          <w:sz w:val="18"/>
          <w:szCs w:val="18"/>
        </w:rPr>
        <w:t>compliance@ksoils.com</w:t>
      </w:r>
    </w:hyperlink>
    <w:r w:rsidR="008148E5" w:rsidRPr="008148E5">
      <w:rPr>
        <w:rFonts w:cstheme="minorHAnsi"/>
        <w:sz w:val="18"/>
        <w:szCs w:val="18"/>
      </w:rPr>
      <w:t xml:space="preserve">                                          </w:t>
    </w:r>
  </w:p>
  <w:p w:rsidR="00B8477F" w:rsidRPr="00886663" w:rsidRDefault="00B8477F">
    <w:pPr>
      <w:pStyle w:val="Foo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A4" w:rsidRDefault="002D74A4" w:rsidP="00795118">
      <w:r>
        <w:separator/>
      </w:r>
    </w:p>
  </w:footnote>
  <w:footnote w:type="continuationSeparator" w:id="0">
    <w:p w:rsidR="002D74A4" w:rsidRDefault="002D74A4" w:rsidP="0079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18" w:rsidRPr="00795118" w:rsidRDefault="00795118" w:rsidP="00795118">
    <w:pPr>
      <w:rPr>
        <w:rFonts w:ascii="Times" w:hAnsi="Times"/>
        <w:sz w:val="56"/>
        <w:szCs w:val="144"/>
      </w:rPr>
    </w:pPr>
    <w:r w:rsidRPr="00795118">
      <w:rPr>
        <w:rFonts w:ascii="Times" w:hAnsi="Times"/>
        <w:sz w:val="56"/>
        <w:szCs w:val="144"/>
      </w:rPr>
      <w:t xml:space="preserve"> </w:t>
    </w:r>
    <w:r w:rsidR="003361CF">
      <w:rPr>
        <w:rFonts w:ascii="Times" w:hAnsi="Times"/>
        <w:noProof/>
        <w:sz w:val="56"/>
        <w:szCs w:val="144"/>
        <w:lang w:eastAsia="en-IN"/>
      </w:rPr>
      <w:drawing>
        <wp:inline distT="0" distB="0" distL="0" distR="0">
          <wp:extent cx="631779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01" cy="83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/>
        <w:sz w:val="56"/>
        <w:szCs w:val="144"/>
      </w:rPr>
      <w:tab/>
    </w:r>
    <w:r>
      <w:rPr>
        <w:rFonts w:ascii="Times" w:hAnsi="Times"/>
        <w:sz w:val="56"/>
        <w:szCs w:val="144"/>
      </w:rPr>
      <w:tab/>
    </w:r>
    <w:r>
      <w:rPr>
        <w:rFonts w:ascii="Times" w:hAnsi="Times"/>
        <w:sz w:val="56"/>
        <w:szCs w:val="144"/>
      </w:rPr>
      <w:tab/>
    </w:r>
    <w:r>
      <w:rPr>
        <w:rFonts w:ascii="Times" w:hAnsi="Times"/>
        <w:sz w:val="56"/>
        <w:szCs w:val="144"/>
      </w:rPr>
      <w:tab/>
    </w:r>
  </w:p>
  <w:p w:rsidR="00795118" w:rsidRPr="00AE026B" w:rsidRDefault="00682D47" w:rsidP="00AE026B">
    <w:pPr>
      <w:ind w:left="3600"/>
      <w:jc w:val="right"/>
      <w:rPr>
        <w:rFonts w:ascii="Times" w:hAnsi="Times"/>
        <w:szCs w:val="32"/>
      </w:rPr>
    </w:pPr>
    <w:r>
      <w:rPr>
        <w:rFonts w:ascii="Times" w:hAnsi="Times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48F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80C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2A38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4B8A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357B"/>
    <w:multiLevelType w:val="hybridMultilevel"/>
    <w:tmpl w:val="38D0D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CE3BE1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0FE"/>
    <w:multiLevelType w:val="hybridMultilevel"/>
    <w:tmpl w:val="38D0D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75D6C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0A5E"/>
    <w:multiLevelType w:val="hybridMultilevel"/>
    <w:tmpl w:val="AD1A45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C57A1"/>
    <w:multiLevelType w:val="hybridMultilevel"/>
    <w:tmpl w:val="273A40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7D79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D1633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B25ED"/>
    <w:multiLevelType w:val="hybridMultilevel"/>
    <w:tmpl w:val="38D0D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95C68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C1DE9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21746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1536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72F96"/>
    <w:multiLevelType w:val="hybridMultilevel"/>
    <w:tmpl w:val="1CB25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47BDE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756F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41C5"/>
    <w:multiLevelType w:val="hybridMultilevel"/>
    <w:tmpl w:val="11FC47F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4AAE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B3E16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14A98"/>
    <w:multiLevelType w:val="hybridMultilevel"/>
    <w:tmpl w:val="04B8782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15"/>
  </w:num>
  <w:num w:numId="9">
    <w:abstractNumId w:val="0"/>
  </w:num>
  <w:num w:numId="10">
    <w:abstractNumId w:val="3"/>
  </w:num>
  <w:num w:numId="11">
    <w:abstractNumId w:val="10"/>
  </w:num>
  <w:num w:numId="12">
    <w:abstractNumId w:val="22"/>
  </w:num>
  <w:num w:numId="13">
    <w:abstractNumId w:val="1"/>
  </w:num>
  <w:num w:numId="14">
    <w:abstractNumId w:val="11"/>
  </w:num>
  <w:num w:numId="15">
    <w:abstractNumId w:val="20"/>
  </w:num>
  <w:num w:numId="16">
    <w:abstractNumId w:val="16"/>
  </w:num>
  <w:num w:numId="17">
    <w:abstractNumId w:val="23"/>
  </w:num>
  <w:num w:numId="18">
    <w:abstractNumId w:val="7"/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E8"/>
    <w:rsid w:val="000A73E8"/>
    <w:rsid w:val="000C4EDC"/>
    <w:rsid w:val="00146EB1"/>
    <w:rsid w:val="001F0A2D"/>
    <w:rsid w:val="001F44B2"/>
    <w:rsid w:val="00253900"/>
    <w:rsid w:val="00256A13"/>
    <w:rsid w:val="002629D9"/>
    <w:rsid w:val="00275185"/>
    <w:rsid w:val="00284FAB"/>
    <w:rsid w:val="0029376C"/>
    <w:rsid w:val="002B221A"/>
    <w:rsid w:val="002C4D05"/>
    <w:rsid w:val="002D74A4"/>
    <w:rsid w:val="002D76DD"/>
    <w:rsid w:val="00311458"/>
    <w:rsid w:val="003361CF"/>
    <w:rsid w:val="00355937"/>
    <w:rsid w:val="003F2036"/>
    <w:rsid w:val="00450770"/>
    <w:rsid w:val="0047341C"/>
    <w:rsid w:val="00485969"/>
    <w:rsid w:val="00490A51"/>
    <w:rsid w:val="00523226"/>
    <w:rsid w:val="005F2FA0"/>
    <w:rsid w:val="005F5C8F"/>
    <w:rsid w:val="00666A6D"/>
    <w:rsid w:val="00682D47"/>
    <w:rsid w:val="006C2029"/>
    <w:rsid w:val="006E3984"/>
    <w:rsid w:val="00702372"/>
    <w:rsid w:val="00702529"/>
    <w:rsid w:val="007412D0"/>
    <w:rsid w:val="00767DC9"/>
    <w:rsid w:val="00795118"/>
    <w:rsid w:val="007F71F8"/>
    <w:rsid w:val="008148E5"/>
    <w:rsid w:val="00885FCB"/>
    <w:rsid w:val="00886663"/>
    <w:rsid w:val="008F68C8"/>
    <w:rsid w:val="009053F0"/>
    <w:rsid w:val="00937D1B"/>
    <w:rsid w:val="009C463C"/>
    <w:rsid w:val="009E052E"/>
    <w:rsid w:val="009E7AA8"/>
    <w:rsid w:val="00A0405E"/>
    <w:rsid w:val="00A17E1B"/>
    <w:rsid w:val="00A276FE"/>
    <w:rsid w:val="00A45B14"/>
    <w:rsid w:val="00A647E3"/>
    <w:rsid w:val="00A94C1A"/>
    <w:rsid w:val="00AE026B"/>
    <w:rsid w:val="00B0695A"/>
    <w:rsid w:val="00B511AF"/>
    <w:rsid w:val="00B8477F"/>
    <w:rsid w:val="00BB072B"/>
    <w:rsid w:val="00BB2C45"/>
    <w:rsid w:val="00BE603C"/>
    <w:rsid w:val="00C1530E"/>
    <w:rsid w:val="00CE1CA7"/>
    <w:rsid w:val="00CE7003"/>
    <w:rsid w:val="00D04A7A"/>
    <w:rsid w:val="00D12D9F"/>
    <w:rsid w:val="00DC3541"/>
    <w:rsid w:val="00DD5FC5"/>
    <w:rsid w:val="00E14385"/>
    <w:rsid w:val="00E21AD4"/>
    <w:rsid w:val="00E77DCE"/>
    <w:rsid w:val="00E91E88"/>
    <w:rsid w:val="00EA224D"/>
    <w:rsid w:val="00FA747C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C6BF2"/>
  <w15:chartTrackingRefBased/>
  <w15:docId w15:val="{436CABCC-2060-48F2-A768-CD8130E5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118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5118"/>
  </w:style>
  <w:style w:type="paragraph" w:styleId="Footer">
    <w:name w:val="footer"/>
    <w:basedOn w:val="Normal"/>
    <w:link w:val="FooterChar"/>
    <w:uiPriority w:val="99"/>
    <w:unhideWhenUsed/>
    <w:rsid w:val="00795118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5118"/>
  </w:style>
  <w:style w:type="paragraph" w:styleId="ListParagraph">
    <w:name w:val="List Paragraph"/>
    <w:aliases w:val="Annexure,Ar-Body Text,Heading 91,Heading 911,Heading 9111,Heading 91111,Heading 911111,Heading 9111111,Heading 92,Heading 921,Heading 93,Heading 94,Heading 95,Heading 96,List Paragraph1,List Paragraph11,List Paragraph2,Heading 91111111,b1"/>
    <w:basedOn w:val="Normal"/>
    <w:link w:val="ListParagraphChar"/>
    <w:uiPriority w:val="34"/>
    <w:qFormat/>
    <w:rsid w:val="00885FC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477F"/>
    <w:rPr>
      <w:color w:val="0563C1" w:themeColor="hyperlink"/>
      <w:u w:val="single"/>
    </w:rPr>
  </w:style>
  <w:style w:type="character" w:customStyle="1" w:styleId="ListParagraphChar">
    <w:name w:val="List Paragraph Char"/>
    <w:aliases w:val="Annexure Char,Ar-Body Text Char,Heading 91 Char,Heading 911 Char,Heading 9111 Char,Heading 91111 Char,Heading 911111 Char,Heading 9111111 Char,Heading 92 Char,Heading 921 Char,Heading 93 Char,Heading 94 Char,Heading 95 Char,b1 Char"/>
    <w:link w:val="ListParagraph"/>
    <w:uiPriority w:val="34"/>
    <w:qFormat/>
    <w:locked/>
    <w:rsid w:val="00523226"/>
  </w:style>
  <w:style w:type="table" w:styleId="TableGrid">
    <w:name w:val="Table Grid"/>
    <w:basedOn w:val="TableNormal"/>
    <w:uiPriority w:val="59"/>
    <w:rsid w:val="0052322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soi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93CB-A59D-4982-B672-E258AFC3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41</cp:revision>
  <cp:lastPrinted>2025-06-30T07:00:00Z</cp:lastPrinted>
  <dcterms:created xsi:type="dcterms:W3CDTF">2025-01-25T05:14:00Z</dcterms:created>
  <dcterms:modified xsi:type="dcterms:W3CDTF">2025-07-25T11:47:00Z</dcterms:modified>
</cp:coreProperties>
</file>